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f89e0fa69447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30015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OTOK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2.330.798,75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2.846.256,24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1.378.360,90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3.026.169,26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179.913,02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227.095,75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480.195,42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227.095,75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480.195,42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660.108,44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skladu sa odredbama o financijskom izvještavanju u proračunskom računovodstvu (“Narodne novine br. 37/22) i Okružnici o sastavljanju i predaji financijskih izvještaja proračuna, proračunskih i izvanproračunskih korisnika državnog proračuna, te proračunskih i izvanproračunskih korisnika jedinica lokalne i područne (regionalne) samouprave za razdoblje od 01. siječnja do 30. rujna 2025. godine od 30. rujna 2025. sastavljen je Financijski izvještaj općine Otok za razdoblje siječanj – rujan 2025. godine koji se sastoji od : Izvještaja o prihodima i rashodima, primicima i izdacima (Obrazac PR-RAS) Izvještaj o obvezama (Obrazac Obveze), Bilješke. Razlozi velikih odstupanja u odnosu na prošlu godinu nalaze se u činjenici što je Općina Otok u 2024. godini bila bez izglasanog proračuna tijekom čitave godine te se financirala sukladno Odlukama o financiranja nužnih rashoda i izdataka. Osobito se činjenica većih rashoda odnosi na zakonom ograničeno trošenje sredstava na nove projekte u vrijeme poslovanja bez izglasanog proračuna. 1. Izvještaj o prihodima i rashodima, primicima i izdacima (obrazac PR-RAS) a) PRIHODI Ukupni prihodi i primici proračuna općine Otok za prvih devet mjeseci 2025. godine ostvareni su u iznosu od 2.846.256,24 EUR što je 22,1% više od prošlogodišnjeg ostvarenja koje je iznosilo 2.330.798,75 EUR. Prihodi poslovanja (šifra 6), ostvareni su u iznosu 2.846.256,24 EUR, što povećanje za 22,1% u odnosu na prethodno izvještajno razdoblje. Prihodi od poreza (šifra 61) realizirani su u ukupnom iznosu od 1.942.267,92 EUR , što je 23,2 % više u odnosu na prethodno izvještajno razdoblje. Najviše prihoda ostvareno je od poreza i prireza na dohodak, a ostatak je ostvaren od poreza na imovinu, te poreza na robu i usluge. Ukupni rashodi i izdaci ostvareni su u iznosu od 3.506.364,68 EUR, što je 118,4 % više od prošlogodišnjeg ostvarenja koje je iznosilo 1.605.456,65 EUR. U razdoblju od 1.1.2025. do 30.9.2025. godini ostvareno je 609.689,80 EUR pomoći iz inozemstva i od subjekata unutar opće države (šifra 63) što je 109,6 % više nego u prošlogodišnjem izvještajnom razdoblju. Prihodi od imovine (šifra 64) ostvareni su u iznosu od 225.626,10 EUR, manje je u odnosu na prošlu godinu za 43,2 %. Prihodi od upravnih i administrativnih pristojbi, pristojbi po posebnim propisima i naknade (šifra 65) ostvareni su u iznosu od 56.393,07 EUR, manji je u odnosu na prošlu godinu za 22,9 %. Najznačajniji prihod u ovoj skupini je prihod od komunalne naknade u iznosu od 56.371,73 EUR. Prihodi od prodaje nefinancijske imovine (šifra 7)- nisu ostvareni b) RASHODI Rashodi za zaposlene (šifra 31) Rashodi za zaposlene izvršeni su u iznosu od 543.142,69 EUR, a odnose se na plaće s pripadajućim doprinosima, te na rashode za ostala prava zaposlenih, kao i sve plaće koje se financiraju iz proračuna Općine. Rashodi za zaposlene povećani su u odnosu na prošlu godinu za 197,4 % što je razlog povećanog broja zaposlenih zbog projekta Zaželi, kao i povećanja plaća za djelatnike proračunskog korisnika dječjeg vrtića Žabica. Materijalni rashodi (šifra 32) Materijalni rashodi izvršeni su u iznosu od 915.501,03 EUR ili 228,4 % više u odnosu na prethodnu godinu. Vrijednosno najznačajniji su rashodi za usluge u iznosu od 730.017,61EUR , koji se odnose na usluge telefona, pošte, prijevoza, usluge tekućeg i investicijskog održavanja, usluge promidžbe, komunalne usluge, intelektualne i osobne usluge, računalne i ostale usluge. Financijski rashodi (šifra 34) Financijski rashodi izvršeni su u iznosu od 6.786,26 EUR, što je 414,1 % prošlogodišnjeg izvršenja. Pomoći dane u inozemstvo i unutar općeg proračuna (šifra 36) Pomoći dane u inozemstvo i unutar općeg proračuna iznose 490.038,51 EUR, a odnose se na financiranje proračunskog korisnika DV Žabica. Naknade građanima i kućanstvima na temelju osiguranja i druge naknade (šifra 37) Izvršene su u iznosu 536.189,80 EUR ili 258,2 % više od prošlogodišnjeg ostvarenja. Odnose se na ostale naknade građanima i kućanstvima u novcu (stipendije studentima i srednjoškolcima, jednokratne novčane pomoći, potpore za novorođeno dijete, pomoći prilikom sklapanja braka, posmrtna pripomoć, pomoć za stambeno zbrinjavanje mladih i sufinanciranje prijevoza) Ostali rashodi (šifra 38) Ostali rashodi izvršeni su u iznosu od 457.980,80 EUR ili 190,9 % više nego prethodne godine. Novac je potrošen na financiranje raznih udruga, političkih stranaka, sportskih klubova i slično. Rashodi za nabavu nefinancijske imovine (šifra 4) Izvršeni su u iznosu od 480.195,42 EUR ili 211,5 % više od izvršenja prethodne godine. Ovi rashodi odnose se na izgradnju cesta i ostalih građevinskih objekata te nabavu uredske opreme i namještaja.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168.983,72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odnosno na dan 30. lipnja 2024. godine iznosi 168.983,72 EUR, a odnosi se na obveze za rashode poslovanja u iznosu od 106.399,39 eura, obveze za nabavu nefinancijske imovine u iznosu od 62.584,33 EUR. Razlozi koji su doveli do navedenog stanja su određeni sporni računi dobavljača koji su u rješavanju ili u nekim od sudskih procesa. Dio spornih računa je riješen te će biti vidljiv nakon ovog izvještajnog razdoblja.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b9bb646ee44105" /></Relationships>
</file>